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jc w:val="center"/>
        <w:rPr>
          <w:rFonts w:ascii="方正小标宋_GBK" w:hAnsi="Helvetica" w:eastAsia="方正小标宋_GBK" w:cs="Helvetica"/>
          <w:color w:val="333333"/>
          <w:sz w:val="32"/>
          <w:szCs w:val="32"/>
        </w:rPr>
      </w:pPr>
      <w:r>
        <w:rPr>
          <w:rFonts w:hint="eastAsia" w:ascii="方正小标宋_GBK" w:hAnsi="Helvetica" w:eastAsia="方正小标宋_GBK" w:cs="Helvetica"/>
          <w:bCs/>
          <w:color w:val="333333"/>
          <w:kern w:val="0"/>
          <w:sz w:val="32"/>
          <w:szCs w:val="32"/>
          <w:shd w:val="clear" w:color="auto" w:fill="FFFFFF"/>
        </w:rPr>
        <w:t>获奖作品公示</w:t>
      </w:r>
    </w:p>
    <w:p>
      <w:pPr>
        <w:widowControl/>
        <w:shd w:val="clear" w:color="auto" w:fill="FFFFFF"/>
        <w:spacing w:after="150"/>
        <w:jc w:val="center"/>
        <w:rPr>
          <w:rFonts w:ascii="方正黑体_GBK" w:hAnsi="Helvetica" w:eastAsia="方正黑体_GBK" w:cs="Helvetica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Helvetica" w:eastAsia="方正黑体_GBK" w:cs="Helvetica"/>
          <w:bCs/>
          <w:color w:val="333333"/>
          <w:kern w:val="0"/>
          <w:sz w:val="32"/>
          <w:szCs w:val="32"/>
          <w:shd w:val="clear" w:color="auto" w:fill="FFFFFF"/>
        </w:rPr>
        <w:t>优秀奖一名</w:t>
      </w:r>
      <w:bookmarkStart w:id="0" w:name="_GoBack"/>
      <w:bookmarkEnd w:id="0"/>
    </w:p>
    <w:p>
      <w:pPr>
        <w:widowControl/>
        <w:shd w:val="clear" w:color="auto" w:fill="FFFFFF"/>
        <w:spacing w:after="150"/>
        <w:rPr>
          <w:rFonts w:ascii="Helvetica" w:hAnsi="Helvetica" w:eastAsia="宋体" w:cs="Helvetic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  <w:t>作品：</w:t>
      </w:r>
    </w:p>
    <w:p>
      <w:pPr>
        <w:widowControl/>
        <w:shd w:val="clear" w:color="auto" w:fill="FFFFFF"/>
        <w:spacing w:after="150"/>
        <w:jc w:val="center"/>
        <w:rPr>
          <w:rFonts w:ascii="Helvetica" w:hAnsi="Helvetica" w:eastAsia="Helvetica" w:cs="Helvetic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Helvetica" w:hAnsi="Helvetica" w:eastAsia="Helvetica" w:cs="Helvetica"/>
          <w:b/>
          <w:bCs/>
          <w:color w:val="333333"/>
          <w:kern w:val="0"/>
          <w:sz w:val="28"/>
          <w:szCs w:val="28"/>
          <w:shd w:val="clear" w:color="auto" w:fill="FFFFFF"/>
        </w:rPr>
        <w:drawing>
          <wp:inline distT="0" distB="0" distL="114300" distR="114300">
            <wp:extent cx="3569970" cy="1823085"/>
            <wp:effectExtent l="0" t="0" r="11430" b="5715"/>
            <wp:docPr id="2" name="图片 2" descr="1679277053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927705346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  <w:t>作者：</w:t>
      </w:r>
      <w:r>
        <w:rPr>
          <w:rFonts w:hint="eastAsia" w:ascii="微软雅黑" w:hAnsi="微软雅黑" w:eastAsia="微软雅黑" w:cs="微软雅黑"/>
          <w:color w:val="333333"/>
        </w:rPr>
        <w:t>孙鼎</w:t>
      </w:r>
    </w:p>
    <w:p>
      <w:pPr>
        <w:pStyle w:val="6"/>
        <w:spacing w:beforeAutospacing="0" w:afterAutospacing="0" w:line="30" w:lineRule="atLeast"/>
        <w:ind w:right="-226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  <w:t>设计理念</w:t>
      </w:r>
      <w:r>
        <w:rPr>
          <w:rFonts w:hint="eastAsia"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：</w:t>
      </w:r>
      <w:r>
        <w:rPr>
          <w:rFonts w:ascii="微软雅黑" w:hAnsi="微软雅黑" w:eastAsia="微软雅黑" w:cs="微软雅黑"/>
          <w:color w:val="333333"/>
          <w:kern w:val="2"/>
          <w:sz w:val="21"/>
          <w:szCs w:val="21"/>
        </w:rPr>
        <w:t>盐路绿色驿站</w:t>
      </w:r>
      <w:r>
        <w:rPr>
          <w:rFonts w:hint="eastAsia" w:ascii="微软雅黑" w:hAnsi="微软雅黑" w:eastAsia="微软雅黑" w:cs="微软雅黑"/>
          <w:color w:val="333333"/>
          <w:kern w:val="2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本标识以“S”为创作元素，融入盐城特色丹顶鹤、公路、手形等绿色环保元素，造型简洁，寓意深邃。标识整体以服务英文SERVICE中“S”变形设计，服务区的核心就是为过往车辆提供更优质的服务；标识构成一只丹顶鹤的造型，体现服务区与当地旅游、特色、农业各方面的深度交融。该标识造型好似一只伸出的手寓意“盐路绿色驿站”下的各服务区为过往车辆和司乘人员提供餐饮、免费停车、车辆检修、汽车充电、加油、道路救援等各式服务。本标识以绿色为主体，红色作点缀，绿色标识符合交投集团打造绿色、环保、节能的服务区理念。</w:t>
      </w:r>
    </w:p>
    <w:p>
      <w:pPr>
        <w:widowControl/>
        <w:shd w:val="clear" w:color="auto" w:fill="FFFFFF"/>
        <w:spacing w:after="150"/>
        <w:jc w:val="center"/>
        <w:rPr>
          <w:rFonts w:ascii="Helvetica" w:hAnsi="Helvetica" w:cs="Helvetica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after="150"/>
        <w:jc w:val="center"/>
        <w:rPr>
          <w:rFonts w:ascii="Helvetica" w:hAnsi="Helvetica" w:cs="Helvetica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after="150"/>
        <w:jc w:val="center"/>
        <w:rPr>
          <w:rFonts w:ascii="Helvetica" w:hAnsi="Helvetica" w:cs="Helvetica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after="150"/>
        <w:jc w:val="center"/>
        <w:rPr>
          <w:rFonts w:ascii="Helvetica" w:hAnsi="Helvetica" w:cs="Helvetica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after="150"/>
        <w:jc w:val="center"/>
        <w:rPr>
          <w:rFonts w:ascii="方正黑体_GBK" w:hAnsi="Helvetica" w:eastAsia="方正黑体_GBK" w:cs="Helvetica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Helvetica" w:eastAsia="方正黑体_GBK" w:cs="Helvetica"/>
          <w:bCs/>
          <w:color w:val="333333"/>
          <w:kern w:val="0"/>
          <w:sz w:val="32"/>
          <w:szCs w:val="32"/>
          <w:shd w:val="clear" w:color="auto" w:fill="FFFFFF"/>
        </w:rPr>
        <w:t>入围奖三名</w:t>
      </w:r>
    </w:p>
    <w:p>
      <w:pPr>
        <w:widowControl/>
        <w:shd w:val="clear" w:color="auto" w:fill="FFFFFF"/>
        <w:spacing w:after="15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作品一：</w:t>
      </w:r>
    </w:p>
    <w:p>
      <w:pPr>
        <w:widowControl/>
        <w:shd w:val="clear" w:color="auto" w:fill="FFFFFF"/>
        <w:spacing w:after="150"/>
        <w:jc w:val="center"/>
        <w:rPr>
          <w:rFonts w:ascii="Helvetica" w:hAnsi="Helvetica" w:eastAsia="宋体" w:cs="Helvetica"/>
          <w:color w:val="333333"/>
          <w:sz w:val="28"/>
          <w:szCs w:val="28"/>
          <w:shd w:val="clear" w:color="auto" w:fill="FFFFFF"/>
        </w:rPr>
      </w:pPr>
      <w:r>
        <w:rPr>
          <w:rFonts w:hint="eastAsia" w:ascii="Helvetica" w:hAnsi="Helvetica" w:eastAsia="宋体" w:cs="Helvetica"/>
          <w:color w:val="333333"/>
          <w:sz w:val="28"/>
          <w:szCs w:val="28"/>
          <w:shd w:val="clear" w:color="auto" w:fill="FFFFFF"/>
        </w:rPr>
        <w:drawing>
          <wp:inline distT="0" distB="0" distL="114300" distR="114300">
            <wp:extent cx="5272405" cy="2151380"/>
            <wp:effectExtent l="0" t="0" r="4445" b="1270"/>
            <wp:docPr id="5" name="图片 6" descr="167927973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67927973156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color w:val="333333"/>
        </w:rPr>
      </w:pPr>
      <w:r>
        <w:rPr>
          <w:rFonts w:hint="eastAsia"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  <w:t>作者：</w:t>
      </w:r>
      <w:r>
        <w:rPr>
          <w:rFonts w:hint="eastAsia" w:ascii="微软雅黑" w:hAnsi="微软雅黑" w:eastAsia="微软雅黑" w:cs="微软雅黑"/>
          <w:color w:val="333333"/>
        </w:rPr>
        <w:t>韩静怡</w:t>
      </w:r>
    </w:p>
    <w:p>
      <w:pPr>
        <w:pStyle w:val="6"/>
        <w:spacing w:beforeAutospacing="0" w:afterAutospacing="0" w:line="30" w:lineRule="atLeast"/>
        <w:ind w:right="-226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/>
          <w:b/>
          <w:bCs/>
          <w:color w:val="333333"/>
          <w:sz w:val="28"/>
          <w:szCs w:val="28"/>
          <w:shd w:val="clear" w:color="auto" w:fill="FFFFFF"/>
        </w:rPr>
        <w:t>设计理念</w:t>
      </w:r>
      <w:r>
        <w:rPr>
          <w:rFonts w:hint="eastAsia"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：</w:t>
      </w:r>
      <w:r>
        <w:rPr>
          <w:rFonts w:hint="eastAsia" w:ascii="微软雅黑" w:hAnsi="微软雅黑" w:eastAsia="微软雅黑" w:cs="微软雅黑"/>
          <w:color w:val="333333"/>
        </w:rPr>
        <w:t>盐路</w:t>
      </w:r>
      <w:r>
        <w:rPr>
          <w:rFonts w:ascii="微软雅黑" w:hAnsi="微软雅黑" w:eastAsia="微软雅黑" w:cs="微软雅黑"/>
          <w:color w:val="333333"/>
        </w:rPr>
        <w:t>·</w:t>
      </w:r>
      <w:r>
        <w:rPr>
          <w:rFonts w:hint="eastAsia" w:ascii="微软雅黑" w:hAnsi="微软雅黑" w:eastAsia="微软雅黑" w:cs="微软雅黑"/>
          <w:color w:val="333333"/>
        </w:rPr>
        <w:t xml:space="preserve">心旅  </w:t>
      </w:r>
      <w:r>
        <w:rPr>
          <w:rFonts w:ascii="微软雅黑" w:hAnsi="微软雅黑" w:eastAsia="微软雅黑" w:cs="微软雅黑"/>
          <w:color w:val="333333"/>
          <w:sz w:val="22"/>
          <w:szCs w:val="22"/>
        </w:rPr>
        <w:t>LOGO融合黄海湿地、公路品牌等元素，秉持服务与守护的理念，展现盐城交投“服务区+”的品牌建设。整体基调以“生态蓝”与“热情红”渐变色彩为主，契合盐城——“黄海湿地”的靓丽生态名片和“打开心扉”的宣传语，打造“广邀四方，温情守护”的盐城公路服务区形象。道路汇聚的线条与抽象化生态的线条汇聚在一起，无限延伸向远方，既展现了一副“人杰地灵，生态共生”的美好画卷，又传递了盐城交投为社会公众提供“畅、安、舒、美”的高质量通行服务环境的建设初心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</w:rPr>
        <w:t>。</w:t>
      </w:r>
    </w:p>
    <w:p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</w:p>
    <w:p>
      <w:pPr>
        <w:rPr>
          <w:rFonts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  <w:t>作品二：</w:t>
      </w:r>
    </w:p>
    <w:p>
      <w:pPr>
        <w:widowControl/>
        <w:shd w:val="clear" w:color="auto" w:fill="FFFFFF"/>
        <w:spacing w:after="150"/>
        <w:jc w:val="center"/>
        <w:rPr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</w:pPr>
      <w:r>
        <w:drawing>
          <wp:inline distT="0" distB="0" distL="114300" distR="114300">
            <wp:extent cx="3905250" cy="211455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50"/>
        <w:rPr>
          <w:rFonts w:ascii="微软雅黑" w:hAnsi="微软雅黑" w:eastAsia="微软雅黑" w:cs="微软雅黑"/>
          <w:color w:val="333333"/>
        </w:rPr>
      </w:pPr>
      <w:r>
        <w:rPr>
          <w:rFonts w:hint="eastAsia"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  <w:t>作者：</w:t>
      </w:r>
      <w:r>
        <w:rPr>
          <w:rFonts w:hint="eastAsia" w:ascii="微软雅黑" w:hAnsi="微软雅黑" w:eastAsia="微软雅黑" w:cs="微软雅黑"/>
          <w:color w:val="333333"/>
        </w:rPr>
        <w:t>庞朝阳</w:t>
      </w:r>
    </w:p>
    <w:p>
      <w:pPr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  <w:t>设计理念</w:t>
      </w:r>
      <w:r>
        <w:rPr>
          <w:rFonts w:hint="eastAsia" w:ascii="Helvetica" w:hAnsi="Helvetica" w:eastAsia="宋体" w:cs="Helvetica"/>
          <w:b/>
          <w:bCs/>
          <w:color w:val="333333"/>
          <w:sz w:val="28"/>
          <w:szCs w:val="28"/>
          <w:shd w:val="clear" w:color="auto" w:fill="FFFFFF"/>
        </w:rPr>
        <w:t>：</w:t>
      </w:r>
      <w:r>
        <w:rPr>
          <w:rFonts w:hint="eastAsia" w:ascii="微软雅黑" w:hAnsi="微软雅黑" w:eastAsia="微软雅黑" w:cs="微软雅黑"/>
          <w:color w:val="333333"/>
          <w:szCs w:val="21"/>
        </w:rPr>
        <w:t>发展腾飞，欣欣向荣 logo以盐城的“y”“C”字母为设计，图形融入了奉献的爱心、扶助帮助之手、国省道公路、纽带、港湾等元素，寓意了盐城市普通国省道公路服务区是广大流动人员绿色安全、充满爱心、温暖舒话，服务帮助的停靠的港湾。伸出的拇指，体现服务区团积极向一、永争第一的精神，彭显服务区和谐发展、引领潮流，创造美好生活的美好愿景。红色代表热情友好，蓝色代表了科技、容纳，绿色代表了绿色、环保、节能，智慧服务区品牌形象。腾飞的凤凰寓意了服务区发展腾飞，欣欣向荣。标志的整体造型具有国际化的特点，同时也具备很强的时代感，体现新时代盐城市普通国省道公路服务区的特征，反映盐城市国省道公路服务区的品牌内涵，寓意深远、构思新颖，积极向上，具有独特性和唯一性，易于识别记忆和推广宣传。辨识度高，应用性强。</w:t>
      </w:r>
    </w:p>
    <w:p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  <w:t>作品三：</w:t>
      </w:r>
    </w:p>
    <w:p>
      <w:pPr>
        <w:jc w:val="center"/>
        <w:rPr>
          <w:rFonts w:ascii="Helvetica" w:hAnsi="Helvetica" w:eastAsia="Helvetica" w:cs="Helvetic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Helvetica" w:hAnsi="Helvetica" w:eastAsia="Helvetica" w:cs="Helvetica"/>
          <w:b/>
          <w:bCs/>
          <w:color w:val="333333"/>
          <w:kern w:val="0"/>
          <w:sz w:val="28"/>
          <w:szCs w:val="28"/>
          <w:shd w:val="clear" w:color="auto" w:fill="FFFFFF"/>
        </w:rPr>
        <w:drawing>
          <wp:inline distT="0" distB="0" distL="114300" distR="114300">
            <wp:extent cx="2237740" cy="2151380"/>
            <wp:effectExtent l="0" t="0" r="10160" b="1270"/>
            <wp:docPr id="1" name="图片 3" descr="盐城市普通国省道公路服务区品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盐城市普通国省道公路服务区品牌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  <w:t>作者：</w:t>
      </w:r>
      <w:r>
        <w:rPr>
          <w:rFonts w:hint="eastAsia" w:ascii="微软雅黑" w:hAnsi="微软雅黑" w:eastAsia="微软雅黑" w:cs="微软雅黑"/>
          <w:color w:val="333333"/>
        </w:rPr>
        <w:t>刘中涛</w:t>
      </w:r>
    </w:p>
    <w:p>
      <w:pPr>
        <w:widowControl/>
        <w:shd w:val="clear" w:color="auto" w:fill="FFFFFF"/>
        <w:spacing w:after="15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Helvetica" w:hAnsi="Helvetica" w:eastAsia="Helvetica" w:cs="Helvetica"/>
          <w:b/>
          <w:bCs/>
          <w:color w:val="333333"/>
          <w:sz w:val="28"/>
          <w:szCs w:val="28"/>
          <w:shd w:val="clear" w:color="auto" w:fill="FFFFFF"/>
        </w:rPr>
        <w:t>设计理念</w:t>
      </w:r>
      <w:r>
        <w:rPr>
          <w:rFonts w:hint="eastAsia" w:ascii="Helvetica" w:hAnsi="Helvetica" w:eastAsia="宋体" w:cs="Helvetica"/>
          <w:b/>
          <w:bCs/>
          <w:color w:val="333333"/>
          <w:sz w:val="28"/>
          <w:szCs w:val="28"/>
          <w:shd w:val="clear" w:color="auto" w:fill="FFFFFF"/>
        </w:rPr>
        <w:t>：</w:t>
      </w:r>
      <w:r>
        <w:rPr>
          <w:rFonts w:hint="eastAsia" w:ascii="微软雅黑" w:hAnsi="微软雅黑" w:eastAsia="微软雅黑" w:cs="微软雅黑"/>
          <w:color w:val="333333"/>
        </w:rPr>
        <w:t xml:space="preserve">盐城驿站  </w:t>
      </w:r>
      <w:r>
        <w:rPr>
          <w:rFonts w:hint="eastAsia" w:ascii="微软雅黑" w:hAnsi="微软雅黑" w:eastAsia="微软雅黑" w:cs="微软雅黑"/>
          <w:color w:val="333333"/>
          <w:szCs w:val="21"/>
        </w:rPr>
        <w:t>标识以字母“yc” 为设计要素，突出盐城市地域概念，两个字母结合在一起，象交错的道路，象飞翔的鸟，象服务的手，表达盐城市普通国省道公路服务区品牌主题内涵。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TZlN2M3ZmIwOGUzOTUyN2ExNDQ5NTYyOWMwZWQifQ=="/>
  </w:docVars>
  <w:rsids>
    <w:rsidRoot w:val="179E5AA6"/>
    <w:rsid w:val="01553765"/>
    <w:rsid w:val="01C35904"/>
    <w:rsid w:val="0BD317A9"/>
    <w:rsid w:val="0CE178B3"/>
    <w:rsid w:val="179E5AA6"/>
    <w:rsid w:val="1D7363FE"/>
    <w:rsid w:val="20B03A06"/>
    <w:rsid w:val="38CB7800"/>
    <w:rsid w:val="47C16D13"/>
    <w:rsid w:val="79D11AD5"/>
    <w:rsid w:val="7D3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Times New Roman" w:hAnsi="Times New Roman" w:eastAsia="方正黑体_GBK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方正楷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9"/>
    </w:pPr>
    <w:rPr>
      <w:rFonts w:eastAsia="方正小标宋_GBK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11">
    <w:name w:val="公文大标题"/>
    <w:basedOn w:val="7"/>
    <w:next w:val="1"/>
    <w:qFormat/>
    <w:uiPriority w:val="0"/>
    <w:pPr>
      <w:keepNext/>
      <w:keepLines/>
      <w:ind w:firstLine="0" w:firstLineChars="0"/>
      <w:outlineLvl w:val="9"/>
    </w:pPr>
    <w:rPr>
      <w:rFonts w:hint="eastAsia" w:ascii="Times New Roman" w:hAnsi="Times New Roman" w:eastAsia="方正小标宋_GBK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2023-03-22T01:43:00Z</dcterms:created>
  <dc:creator>Phoenix</dc:creator>
  <cp:lastModifiedBy>Phoenix</cp:lastModifiedBy>
  <dcterms:modified xsi:type="dcterms:W3CDTF">2023-03-22T01:43:48Z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49EDC19453B94977B9A90BC548831909</vt:lpwstr>
  </property>
</Properties>
</file>